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92" w:rsidRDefault="007D0792" w:rsidP="007D0792">
      <w:pPr>
        <w:widowControl/>
        <w:shd w:val="clear" w:color="auto" w:fill="FFFFFF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7D0792" w:rsidRPr="007D0792" w:rsidRDefault="007D0792" w:rsidP="007D0792">
      <w:pPr>
        <w:widowControl/>
        <w:shd w:val="clear" w:color="auto" w:fill="FFFFFF"/>
        <w:jc w:val="center"/>
        <w:rPr>
          <w:b/>
          <w:sz w:val="28"/>
          <w:szCs w:val="28"/>
          <w:lang w:val="be-BY"/>
        </w:rPr>
      </w:pPr>
      <w:r w:rsidRPr="007D0792">
        <w:rPr>
          <w:b/>
          <w:sz w:val="28"/>
          <w:szCs w:val="28"/>
          <w:lang w:val="be-BY"/>
        </w:rPr>
        <w:t>Совет сельского поселения Ермолаевский сельсовет муниципального района Куюргазинский район Республики Башкортостан</w:t>
      </w:r>
    </w:p>
    <w:p w:rsidR="007D0792" w:rsidRDefault="007D0792" w:rsidP="007D0792">
      <w:pPr>
        <w:widowControl/>
        <w:shd w:val="clear" w:color="auto" w:fill="FFFFFF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7D0792" w:rsidRDefault="007D0792" w:rsidP="007D0792">
      <w:pPr>
        <w:widowControl/>
        <w:shd w:val="clear" w:color="auto" w:fill="FFFFFF"/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 xml:space="preserve">АРАР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>
        <w:rPr>
          <w:b/>
          <w:sz w:val="28"/>
          <w:szCs w:val="28"/>
        </w:rPr>
        <w:t>ПОСТАНОВЛЕНИЕ</w:t>
      </w:r>
      <w:r>
        <w:t xml:space="preserve">          </w:t>
      </w:r>
    </w:p>
    <w:p w:rsidR="007D0792" w:rsidRDefault="007D0792" w:rsidP="007D0792">
      <w:pPr>
        <w:widowControl/>
        <w:shd w:val="clear" w:color="auto" w:fill="FFFFFF"/>
      </w:pPr>
    </w:p>
    <w:p w:rsidR="007D0792" w:rsidRDefault="007D0792" w:rsidP="007D0792">
      <w:pPr>
        <w:widowControl/>
        <w:shd w:val="clear" w:color="auto" w:fill="FFFFFF"/>
      </w:pPr>
      <w:r>
        <w:rPr>
          <w:sz w:val="28"/>
          <w:szCs w:val="28"/>
        </w:rPr>
        <w:t xml:space="preserve"> 23 октября 2</w:t>
      </w:r>
      <w:r>
        <w:rPr>
          <w:sz w:val="28"/>
          <w:szCs w:val="28"/>
        </w:rPr>
        <w:t xml:space="preserve">019 й                   </w:t>
      </w:r>
      <w:r>
        <w:rPr>
          <w:sz w:val="28"/>
          <w:szCs w:val="28"/>
        </w:rPr>
        <w:t xml:space="preserve">      № 238/1                                23 октября 2019 г.     </w:t>
      </w:r>
    </w:p>
    <w:p w:rsidR="007D0792" w:rsidRDefault="007D0792" w:rsidP="007D0792">
      <w:pPr>
        <w:widowControl/>
        <w:rPr>
          <w:b/>
          <w:bCs/>
          <w:sz w:val="26"/>
          <w:szCs w:val="26"/>
        </w:rPr>
      </w:pPr>
    </w:p>
    <w:p w:rsidR="007D0792" w:rsidRDefault="007D0792" w:rsidP="007D0792">
      <w:pPr>
        <w:widowControl/>
        <w:rPr>
          <w:b/>
          <w:bCs/>
          <w:sz w:val="26"/>
          <w:szCs w:val="26"/>
        </w:rPr>
      </w:pPr>
    </w:p>
    <w:p w:rsidR="007D0792" w:rsidRDefault="007D0792" w:rsidP="007D0792">
      <w:pPr>
        <w:ind w:left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проведении публичных слушаний </w:t>
      </w:r>
      <w:r>
        <w:rPr>
          <w:b/>
          <w:sz w:val="28"/>
          <w:szCs w:val="28"/>
        </w:rPr>
        <w:t xml:space="preserve">по вопросу предоставления </w:t>
      </w:r>
    </w:p>
    <w:p w:rsidR="007D0792" w:rsidRDefault="007D0792" w:rsidP="007D0792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разрешения на условно-разрешенный вид использования сформированного земельного участка, расположенного по адресу: </w:t>
      </w:r>
    </w:p>
    <w:p w:rsidR="007D0792" w:rsidRDefault="007D0792" w:rsidP="007D0792">
      <w:pPr>
        <w:ind w:left="284"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Башкортостан, Куюргазинский район, с. Ермолаево, </w:t>
      </w:r>
    </w:p>
    <w:p w:rsidR="007D0792" w:rsidRDefault="007D0792" w:rsidP="007D0792">
      <w:pPr>
        <w:ind w:left="284"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Калинина, д.12 (во дворе)»</w:t>
      </w:r>
    </w:p>
    <w:p w:rsidR="007D0792" w:rsidRDefault="007D0792" w:rsidP="007D0792">
      <w:pPr>
        <w:ind w:left="284" w:right="-1"/>
        <w:jc w:val="both"/>
        <w:rPr>
          <w:sz w:val="28"/>
          <w:szCs w:val="28"/>
        </w:rPr>
      </w:pPr>
    </w:p>
    <w:p w:rsidR="007D0792" w:rsidRDefault="007D0792" w:rsidP="007D0792">
      <w:pPr>
        <w:spacing w:after="120"/>
        <w:ind w:left="-284"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28, 32 Федерального закона от 29.12.2004 г. № 190- 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предоставления разрешения на условно-разрешенный вид использования сформированного земельного участка, расположенного по адресу: </w:t>
      </w:r>
      <w:proofErr w:type="gramStart"/>
      <w:r>
        <w:rPr>
          <w:sz w:val="28"/>
          <w:szCs w:val="28"/>
        </w:rPr>
        <w:t>Республика Башкортостан, Куюргазинский район, с. Ермолаево, ул. Калинина, д.12 (во дворе).</w:t>
      </w:r>
      <w:proofErr w:type="gramEnd"/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проведение публичных слушаний по вопросу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Куюргазинский район, с. Ермолаево, ул. Калинина, д.12 (во дворе) на 06 ноября 2019 года в 12.30. </w:t>
      </w: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Местом проведения публичных слушаний определить:</w:t>
      </w: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Ермолаевский сельсовет муниципального района Куюргазинский район Республики Башкортостан, с. Ермолаево, ул. Советская, д. 69, зал заседаний.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разрешения на условно-разрешенный вид использования сформированного земельного участка, расположенного по адресу: </w:t>
      </w:r>
      <w:proofErr w:type="gramStart"/>
      <w:r>
        <w:rPr>
          <w:sz w:val="28"/>
          <w:szCs w:val="28"/>
        </w:rPr>
        <w:t>Республика Башкортостан, Куюргазинский район, с. Ермолаево, ул. Калинина, д.12 (во дворе): с. Ермолаево, ул. Советская, д. 69, телефон (34757) 62-2-56, приемные дни –  с 9.00 до 12.0</w:t>
      </w:r>
      <w:proofErr w:type="gramEnd"/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обсуждению вопроса предоставления </w:t>
      </w:r>
      <w:r>
        <w:rPr>
          <w:sz w:val="28"/>
          <w:szCs w:val="28"/>
        </w:rPr>
        <w:lastRenderedPageBreak/>
        <w:t xml:space="preserve">разрешения на условно-разрешенный вид использования сформированного земельного участка, расположенного по адресу: Республика Башкортостан, Куюргазинский район, с. Ермолаево, ул. Калинина, д.12 (во дворе),  от граждан и организаций принимаются комиссией по месту ее нахождения. 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Управляющему делами сельского поселения </w:t>
      </w:r>
      <w:proofErr w:type="spellStart"/>
      <w:r>
        <w:rPr>
          <w:sz w:val="28"/>
          <w:szCs w:val="28"/>
        </w:rPr>
        <w:t>Файзуллиной</w:t>
      </w:r>
      <w:proofErr w:type="spellEnd"/>
      <w:r>
        <w:rPr>
          <w:sz w:val="28"/>
          <w:szCs w:val="28"/>
        </w:rPr>
        <w:t xml:space="preserve"> Л.В.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предоставления разрешения на условно-разрешенный вид использования сформированного земельного участка, расположенного по адресу: </w:t>
      </w:r>
      <w:proofErr w:type="gramStart"/>
      <w:r>
        <w:rPr>
          <w:sz w:val="28"/>
          <w:szCs w:val="28"/>
        </w:rPr>
        <w:t>Республика Башкортостан, Куюргазинский район, с. Ермолаево, ул. Калинина, д.12 (во дворе).</w:t>
      </w:r>
      <w:proofErr w:type="gramEnd"/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предоставления разрешения на условно-разрешенный вид использования сформированного земельного участка, расположенного по адресу: Республика Башкортостан, Куюргазинский район, с. Ермолаево, ул. Калинина, д.12 (во дворе), организовать проведение публичных слушаний с размещением экспозиции демонстрационных материалов вопросу предоставления разрешения на условно-разрешенный вид использования сформированного земельного участка, расположенного по адресу: </w:t>
      </w:r>
      <w:proofErr w:type="gramStart"/>
      <w:r>
        <w:rPr>
          <w:sz w:val="28"/>
          <w:szCs w:val="28"/>
        </w:rPr>
        <w:t xml:space="preserve">Республика Башкортостан, Куюргазинский район, с. Ермолаево, ул. Калинина, д.12 (во дворе) на весь период проведения публичных слушаний. </w:t>
      </w:r>
      <w:proofErr w:type="gramEnd"/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Глава сельского поселения                          </w:t>
      </w:r>
      <w:r>
        <w:rPr>
          <w:b/>
          <w:bCs/>
          <w:sz w:val="28"/>
          <w:szCs w:val="28"/>
        </w:rPr>
        <w:t xml:space="preserve">                      </w:t>
      </w:r>
      <w:proofErr w:type="spellStart"/>
      <w:r>
        <w:rPr>
          <w:b/>
          <w:bCs/>
          <w:sz w:val="28"/>
          <w:szCs w:val="28"/>
        </w:rPr>
        <w:t>Р.А.Барановский</w:t>
      </w:r>
      <w:proofErr w:type="spellEnd"/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-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284" w:right="-1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D0792" w:rsidRDefault="007D0792" w:rsidP="007D0792">
      <w:pPr>
        <w:ind w:left="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left="284" w:right="-1"/>
        <w:jc w:val="both"/>
        <w:rPr>
          <w:b/>
          <w:bCs/>
          <w:sz w:val="28"/>
          <w:szCs w:val="28"/>
        </w:rPr>
      </w:pPr>
    </w:p>
    <w:p w:rsidR="007D0792" w:rsidRDefault="007D0792" w:rsidP="007D0792">
      <w:pPr>
        <w:ind w:right="-1"/>
        <w:jc w:val="both"/>
      </w:pPr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7D0792" w:rsidRDefault="007D0792" w:rsidP="007D0792">
      <w:pPr>
        <w:ind w:left="1298" w:right="-1"/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</w:rPr>
        <w:lastRenderedPageBreak/>
        <w:t>Приложение № 1</w:t>
      </w:r>
    </w:p>
    <w:p w:rsidR="007D0792" w:rsidRDefault="007D0792" w:rsidP="007D0792">
      <w:pPr>
        <w:ind w:left="1298" w:right="-1"/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к постановлению</w:t>
      </w:r>
    </w:p>
    <w:p w:rsidR="007D0792" w:rsidRDefault="007D0792" w:rsidP="007D0792">
      <w:pPr>
        <w:ind w:left="1298" w:right="-1"/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сельского поселения</w:t>
      </w:r>
    </w:p>
    <w:p w:rsidR="007D0792" w:rsidRDefault="007D0792" w:rsidP="007D0792">
      <w:pPr>
        <w:ind w:left="1298" w:right="-1"/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Ермолаевский сельсовет</w:t>
      </w:r>
    </w:p>
    <w:p w:rsidR="007D0792" w:rsidRDefault="007D0792" w:rsidP="007D0792">
      <w:pPr>
        <w:ind w:left="1298" w:right="-1"/>
        <w:jc w:val="righ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от 24.11.2019 № 238/1</w:t>
      </w:r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7D0792" w:rsidRDefault="007D0792" w:rsidP="007D0792">
      <w:pPr>
        <w:ind w:right="1440"/>
      </w:pPr>
    </w:p>
    <w:p w:rsidR="007D0792" w:rsidRDefault="007D0792" w:rsidP="007D0792">
      <w:pPr>
        <w:ind w:left="1298" w:right="14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Состав комиссии по организации и</w:t>
      </w:r>
    </w:p>
    <w:p w:rsidR="007D0792" w:rsidRDefault="007D0792" w:rsidP="007D0792">
      <w:pPr>
        <w:ind w:left="1298" w:right="14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проведению публичных слушаний</w:t>
      </w:r>
    </w:p>
    <w:tbl>
      <w:tblPr>
        <w:tblW w:w="10128" w:type="dxa"/>
        <w:tblLook w:val="04A0" w:firstRow="1" w:lastRow="0" w:firstColumn="1" w:lastColumn="0" w:noHBand="0" w:noVBand="1"/>
      </w:tblPr>
      <w:tblGrid>
        <w:gridCol w:w="2609"/>
        <w:gridCol w:w="4489"/>
        <w:gridCol w:w="3030"/>
      </w:tblGrid>
      <w:tr w:rsidR="007D0792" w:rsidTr="007D0792">
        <w:trPr>
          <w:trHeight w:val="735"/>
        </w:trPr>
        <w:tc>
          <w:tcPr>
            <w:tcW w:w="2609" w:type="dxa"/>
          </w:tcPr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Барановский Р.А.            </w:t>
            </w:r>
          </w:p>
        </w:tc>
        <w:tc>
          <w:tcPr>
            <w:tcW w:w="4489" w:type="dxa"/>
          </w:tcPr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глава сельского поселения Ермолаевский сельсовет</w:t>
            </w:r>
          </w:p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30" w:type="dxa"/>
          </w:tcPr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Председатель комиссии</w:t>
            </w:r>
          </w:p>
        </w:tc>
      </w:tr>
      <w:tr w:rsidR="007D0792" w:rsidTr="007D0792">
        <w:tc>
          <w:tcPr>
            <w:tcW w:w="2609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Букреева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М.В.</w:t>
            </w:r>
          </w:p>
        </w:tc>
        <w:tc>
          <w:tcPr>
            <w:tcW w:w="4489" w:type="dxa"/>
          </w:tcPr>
          <w:p w:rsidR="007D0792" w:rsidRDefault="007D0792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Заместитель главы сельского поселения Ермолаевский сельсовет</w:t>
            </w:r>
          </w:p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30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Член комиссии</w:t>
            </w:r>
          </w:p>
        </w:tc>
      </w:tr>
      <w:tr w:rsidR="007D0792" w:rsidTr="007D0792">
        <w:trPr>
          <w:trHeight w:val="455"/>
        </w:trPr>
        <w:tc>
          <w:tcPr>
            <w:tcW w:w="2609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Галиахметова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А.И.</w:t>
            </w:r>
          </w:p>
        </w:tc>
        <w:tc>
          <w:tcPr>
            <w:tcW w:w="4489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Специалист 1 категории</w:t>
            </w:r>
          </w:p>
        </w:tc>
        <w:tc>
          <w:tcPr>
            <w:tcW w:w="3030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Член комиссии</w:t>
            </w:r>
          </w:p>
        </w:tc>
      </w:tr>
      <w:tr w:rsidR="007D0792" w:rsidTr="007D0792">
        <w:tc>
          <w:tcPr>
            <w:tcW w:w="2609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Елизарьева М.В.</w:t>
            </w:r>
          </w:p>
        </w:tc>
        <w:tc>
          <w:tcPr>
            <w:tcW w:w="4489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Специалист 1 категории</w:t>
            </w:r>
          </w:p>
        </w:tc>
        <w:tc>
          <w:tcPr>
            <w:tcW w:w="3030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Член комиссии</w:t>
            </w:r>
          </w:p>
        </w:tc>
      </w:tr>
      <w:tr w:rsidR="007D0792" w:rsidTr="007D0792">
        <w:tc>
          <w:tcPr>
            <w:tcW w:w="2609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Л.В.</w:t>
            </w:r>
          </w:p>
        </w:tc>
        <w:tc>
          <w:tcPr>
            <w:tcW w:w="4489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Управляющий делами</w:t>
            </w:r>
          </w:p>
        </w:tc>
        <w:tc>
          <w:tcPr>
            <w:tcW w:w="3030" w:type="dxa"/>
            <w:hideMark/>
          </w:tcPr>
          <w:p w:rsidR="007D0792" w:rsidRDefault="007D079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Член комиссии</w:t>
            </w:r>
          </w:p>
        </w:tc>
      </w:tr>
    </w:tbl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right="144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Управляющий делами                           </w:t>
      </w:r>
      <w:r>
        <w:rPr>
          <w:rFonts w:ascii="Calibri" w:hAnsi="Calibri"/>
          <w:b/>
          <w:sz w:val="28"/>
          <w:szCs w:val="28"/>
        </w:rPr>
        <w:t xml:space="preserve">             </w:t>
      </w:r>
      <w:proofErr w:type="spellStart"/>
      <w:r>
        <w:rPr>
          <w:rFonts w:ascii="Calibri" w:hAnsi="Calibri"/>
          <w:b/>
          <w:sz w:val="28"/>
          <w:szCs w:val="28"/>
        </w:rPr>
        <w:t>Л.В.Файзуллина</w:t>
      </w:r>
      <w:proofErr w:type="spellEnd"/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widowControl/>
        <w:shd w:val="clear" w:color="auto" w:fill="FFFFFF"/>
        <w:autoSpaceDE/>
        <w:adjustRightInd/>
        <w:ind w:left="-284" w:right="-140"/>
        <w:jc w:val="center"/>
        <w:rPr>
          <w:b/>
          <w:bCs/>
          <w:sz w:val="24"/>
          <w:szCs w:val="24"/>
        </w:rPr>
      </w:pPr>
    </w:p>
    <w:p w:rsidR="007D0792" w:rsidRDefault="007D0792" w:rsidP="007D0792">
      <w:pPr>
        <w:widowControl/>
        <w:shd w:val="clear" w:color="auto" w:fill="FFFFFF"/>
        <w:autoSpaceDE/>
        <w:adjustRightInd/>
        <w:ind w:left="-284" w:right="-140"/>
        <w:jc w:val="center"/>
        <w:rPr>
          <w:b/>
          <w:bCs/>
          <w:sz w:val="28"/>
          <w:szCs w:val="28"/>
        </w:rPr>
      </w:pPr>
    </w:p>
    <w:p w:rsidR="007D0792" w:rsidRDefault="007D0792" w:rsidP="007D0792">
      <w:pPr>
        <w:widowControl/>
        <w:shd w:val="clear" w:color="auto" w:fill="FFFFFF"/>
        <w:autoSpaceDE/>
        <w:adjustRightInd/>
        <w:ind w:left="-284" w:right="-140"/>
        <w:jc w:val="center"/>
        <w:rPr>
          <w:b/>
          <w:bCs/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F2185D" w:rsidRDefault="00F2185D"/>
    <w:sectPr w:rsidR="00F2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6B"/>
    <w:rsid w:val="007D0792"/>
    <w:rsid w:val="00C6796B"/>
    <w:rsid w:val="00F2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3826</Characters>
  <Application>Microsoft Office Word</Application>
  <DocSecurity>0</DocSecurity>
  <Lines>31</Lines>
  <Paragraphs>8</Paragraphs>
  <ScaleCrop>false</ScaleCrop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2019-10-28T09:24:00Z</dcterms:created>
  <dcterms:modified xsi:type="dcterms:W3CDTF">2019-10-28T09:26:00Z</dcterms:modified>
</cp:coreProperties>
</file>